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rsidR="00AA5058">
        <w:t>163217</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22115C">
        <w:t>On f</w:t>
      </w:r>
      <w:r w:rsidR="0087287C">
        <w:t>orward compatibility</w:t>
      </w:r>
    </w:p>
    <w:p w:rsidR="00FE5799" w:rsidRPr="0003368D" w:rsidRDefault="00FE5799" w:rsidP="00FE5799">
      <w:pPr>
        <w:pStyle w:val="Header"/>
        <w:tabs>
          <w:tab w:val="left" w:pos="1800"/>
        </w:tabs>
      </w:pPr>
      <w:r w:rsidRPr="0003368D">
        <w:t>Agenda Item:</w:t>
      </w:r>
      <w:bookmarkStart w:id="1" w:name="Source"/>
      <w:bookmarkEnd w:id="1"/>
      <w:r w:rsidRPr="0003368D">
        <w:tab/>
      </w:r>
      <w:r w:rsidR="000E0F1D">
        <w:t>8.1.2</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 xml:space="preserve">Introduction – forward </w:t>
      </w:r>
      <w:r w:rsidR="004A3F44">
        <w:t>compatibility</w:t>
      </w:r>
    </w:p>
    <w:p w:rsidR="001639B5" w:rsidRDefault="004A3F44" w:rsidP="00A55C73">
      <w:pPr>
        <w:pStyle w:val="BodyText"/>
      </w:pPr>
      <w:r>
        <w:t>The new RAT will support a wide range of scenarios and use cases, many of which are not yet defined. It i</w:t>
      </w:r>
      <w:r w:rsidR="00F002CD">
        <w:t>s</w:t>
      </w:r>
      <w:r>
        <w:t xml:space="preserve"> at this stage also clear that the RAT </w:t>
      </w:r>
      <w:r w:rsidR="003D5908">
        <w:t>fulfilling</w:t>
      </w:r>
      <w:r>
        <w:t xml:space="preserve"> the IMT-2020 requirements will be specified over two releases, release 15 and </w:t>
      </w:r>
      <w:r w:rsidR="003D5908">
        <w:t>release</w:t>
      </w:r>
      <w:r>
        <w:t xml:space="preserve"> 16. Thus, </w:t>
      </w:r>
      <w:r w:rsidR="001639B5">
        <w:rPr>
          <w:b/>
          <w:i/>
        </w:rPr>
        <w:t>forward</w:t>
      </w:r>
      <w:r>
        <w:rPr>
          <w:b/>
          <w:i/>
        </w:rPr>
        <w:t xml:space="preserve"> compatibility</w:t>
      </w:r>
      <w:r w:rsidR="00A55C73">
        <w:t xml:space="preserve"> is of uttermost importance. Any decision taken in the first releaser(s) should, as little as possible, restrict the evolution in coming releases. </w:t>
      </w:r>
      <w:r w:rsidR="0022115C">
        <w:t>In the following some</w:t>
      </w:r>
      <w:r w:rsidR="001639B5">
        <w:t xml:space="preserve"> “design principles”, or “lessons learnt from LTE”, that can help guide the design of the new RAT are discussed. </w:t>
      </w:r>
      <w:r w:rsidR="0022115C">
        <w:t xml:space="preserve">Additional design principles can be found in </w:t>
      </w:r>
      <w:r w:rsidR="0022115C">
        <w:fldChar w:fldCharType="begin"/>
      </w:r>
      <w:r w:rsidR="0022115C">
        <w:instrText xml:space="preserve"> REF _Ref445885665 \r \h </w:instrText>
      </w:r>
      <w:r w:rsidR="0022115C">
        <w:fldChar w:fldCharType="separate"/>
      </w:r>
      <w:r w:rsidR="0022115C">
        <w:t>[1]</w:t>
      </w:r>
      <w:r w:rsidR="0022115C">
        <w:fldChar w:fldCharType="end"/>
      </w:r>
      <w:r w:rsidR="0022115C">
        <w:t>.</w:t>
      </w:r>
    </w:p>
    <w:p w:rsidR="004A3F44" w:rsidRDefault="004A3F44" w:rsidP="00A55C73">
      <w:pPr>
        <w:pStyle w:val="Heading1"/>
      </w:pPr>
      <w:r>
        <w:t xml:space="preserve">Ultra-lean </w:t>
      </w:r>
      <w:r w:rsidR="00C82C6E">
        <w:t>design</w:t>
      </w:r>
    </w:p>
    <w:p w:rsidR="00A55C73" w:rsidRDefault="00A55C73" w:rsidP="00A55C73">
      <w:pPr>
        <w:pStyle w:val="BodyText"/>
      </w:pPr>
      <w:r>
        <w:t>For any cellular technology there are certain transmissions carried out regularly from every network node, regardless of whether or not there is any ongoing user-data transmissions and even if there are no active devices within the coverage of the node. In LTE, such “always-on transmissions” are exemplified by primary and secondary synchronization signals (PSS and SSS), cell-specific reference signals (CRS), and broadcasted system information (MIB and SIBs).</w:t>
      </w:r>
    </w:p>
    <w:p w:rsidR="00A55C73" w:rsidRDefault="00A55C73" w:rsidP="00A55C73">
      <w:pPr>
        <w:pStyle w:val="BodyText"/>
      </w:pPr>
      <w:r>
        <w:t>In high-load scenarios, the interference and power consumption from these transmissions are negligible compared to the overall data transmission. However, in low-load scenarios, which are an important scenario in practice, the interference generated and energy consumed by these “always-on transmission” can significantly limit the performance. Furthermore, experience from LTE suggests that the presence of “always-on signals” will pose unnecessary restrictions on the future evolution as a</w:t>
      </w:r>
      <w:r w:rsidR="003D5908">
        <w:t>n</w:t>
      </w:r>
      <w:r>
        <w:t xml:space="preserve"> “always on signal”, once introduced, cannot be removed without impacting backwards compatibility and impacting existing devices.</w:t>
      </w:r>
      <w:r w:rsidR="00C82C6E">
        <w:t xml:space="preserve"> </w:t>
      </w:r>
      <w:r w:rsidR="004E0AB2">
        <w:t>In principle, the basic assumption on a subframe should, from a UE perspective, be that the subframe is empty unless explicitly assigned from reception (or transmission).</w:t>
      </w:r>
    </w:p>
    <w:p w:rsidR="0087287C" w:rsidRDefault="0087287C" w:rsidP="00A55C73">
      <w:pPr>
        <w:pStyle w:val="BodyText"/>
        <w:rPr>
          <w:b/>
        </w:rPr>
      </w:pPr>
      <w:r>
        <w:rPr>
          <w:b/>
        </w:rPr>
        <w:t>Proposal:</w:t>
      </w:r>
    </w:p>
    <w:p w:rsidR="003D5908" w:rsidRDefault="00C82C6E" w:rsidP="0087287C">
      <w:pPr>
        <w:pStyle w:val="BodyText"/>
        <w:numPr>
          <w:ilvl w:val="0"/>
          <w:numId w:val="7"/>
        </w:numPr>
        <w:rPr>
          <w:b/>
        </w:rPr>
      </w:pPr>
      <w:r w:rsidRPr="00F062F2">
        <w:rPr>
          <w:b/>
        </w:rPr>
        <w:t>Minimize all network transmissions not directly related to user-data transmission</w:t>
      </w:r>
    </w:p>
    <w:p w:rsidR="0087287C" w:rsidRPr="00F062F2" w:rsidRDefault="0087287C" w:rsidP="0087287C">
      <w:pPr>
        <w:pStyle w:val="BodyText"/>
        <w:numPr>
          <w:ilvl w:val="0"/>
          <w:numId w:val="7"/>
        </w:numPr>
        <w:rPr>
          <w:b/>
        </w:rPr>
      </w:pPr>
      <w:r>
        <w:rPr>
          <w:b/>
        </w:rPr>
        <w:t>Blank subframes – a UE should as a baseline treat all subframes as empty unless explicitly told otherwise</w:t>
      </w:r>
    </w:p>
    <w:p w:rsidR="004A3F44" w:rsidRDefault="004A3F44" w:rsidP="00A55C73">
      <w:pPr>
        <w:pStyle w:val="Heading1"/>
      </w:pPr>
      <w:r>
        <w:t>Avoid fixed timing relations</w:t>
      </w:r>
    </w:p>
    <w:p w:rsidR="00F307F4" w:rsidRPr="00F307F4" w:rsidRDefault="00F307F4" w:rsidP="00F307F4">
      <w:pPr>
        <w:pStyle w:val="BodyText"/>
      </w:pPr>
      <w:proofErr w:type="gramStart"/>
      <w:r>
        <w:t>Fixed timin</w:t>
      </w:r>
      <w:r w:rsidR="00334092">
        <w:t>g relations across subframes has</w:t>
      </w:r>
      <w:proofErr w:type="gramEnd"/>
      <w:r w:rsidR="00334092">
        <w:t xml:space="preserve"> been</w:t>
      </w:r>
      <w:r>
        <w:t xml:space="preserve"> used in LTE</w:t>
      </w:r>
      <w:r w:rsidR="00334092">
        <w:t xml:space="preserve"> although the principle has loosened a bit in the later releases due to </w:t>
      </w:r>
      <w:proofErr w:type="spellStart"/>
      <w:r w:rsidR="00334092">
        <w:t>eLAA</w:t>
      </w:r>
      <w:proofErr w:type="spellEnd"/>
      <w:r w:rsidR="00334092">
        <w:t>, NB-</w:t>
      </w:r>
      <w:proofErr w:type="spellStart"/>
      <w:r w:rsidR="00334092">
        <w:t>IoT</w:t>
      </w:r>
      <w:proofErr w:type="spellEnd"/>
      <w:r w:rsidR="00334092">
        <w:t xml:space="preserve"> and </w:t>
      </w:r>
      <w:proofErr w:type="spellStart"/>
      <w:r w:rsidR="00334092">
        <w:t>eMTC</w:t>
      </w:r>
      <w:proofErr w:type="spellEnd"/>
      <w:r>
        <w:t xml:space="preserve">. One example </w:t>
      </w:r>
      <w:r w:rsidR="00334092">
        <w:t xml:space="preserve">of a fixed timing </w:t>
      </w:r>
      <w:r>
        <w:t xml:space="preserve">is the hybrid-ARQ retransmissions timing implying a retransmission occurring 8 </w:t>
      </w:r>
      <w:proofErr w:type="spellStart"/>
      <w:r>
        <w:t>ms</w:t>
      </w:r>
      <w:proofErr w:type="spellEnd"/>
      <w:r>
        <w:t xml:space="preserve"> after the initial transmission in FDD. These kinds of strict timing relations impact forward compatibility and make it more difficult to introduce new transmission procedures not aligned in detail with the legacy timing relation. For example, </w:t>
      </w:r>
      <w:r w:rsidR="001639B5">
        <w:t xml:space="preserve">uplink retransmissions in unlicensed spectrum cannot use the original LTE timing. Strict timing relations will also restrict the deployment flexibility. For example, uplink-downlink separation is possible only with low-latency interconnect between the antenna sites and the baseband processing unit. </w:t>
      </w:r>
    </w:p>
    <w:p w:rsidR="00D539B8" w:rsidRDefault="001639B5" w:rsidP="00A55C73">
      <w:pPr>
        <w:pStyle w:val="BodyText"/>
        <w:rPr>
          <w:b/>
        </w:rPr>
      </w:pPr>
      <w:r w:rsidRPr="00F062F2">
        <w:rPr>
          <w:b/>
        </w:rPr>
        <w:t xml:space="preserve">Proposal: </w:t>
      </w:r>
    </w:p>
    <w:p w:rsidR="00A55C73" w:rsidRPr="00F062F2" w:rsidRDefault="001639B5" w:rsidP="00D539B8">
      <w:pPr>
        <w:pStyle w:val="BodyText"/>
        <w:numPr>
          <w:ilvl w:val="0"/>
          <w:numId w:val="8"/>
        </w:numPr>
        <w:rPr>
          <w:b/>
        </w:rPr>
      </w:pPr>
      <w:r w:rsidRPr="00F062F2">
        <w:rPr>
          <w:b/>
        </w:rPr>
        <w:t>Avoid fixed timing relations across subframe borders</w:t>
      </w:r>
    </w:p>
    <w:p w:rsidR="004A3F44" w:rsidRDefault="004A3F44" w:rsidP="004A3F44">
      <w:pPr>
        <w:pStyle w:val="Heading1"/>
      </w:pPr>
      <w:r>
        <w:t>“Stay in the box”</w:t>
      </w:r>
    </w:p>
    <w:p w:rsidR="001639B5" w:rsidRDefault="001639B5" w:rsidP="001639B5">
      <w:pPr>
        <w:pStyle w:val="BodyText"/>
      </w:pPr>
      <w:r>
        <w:t>The “stay-in-the-box” principle in essence says that a transmission should be kept together and not be spread out over the resource space (the time/frequency grid in case of OFDM). The aim is once again to enable a higher degree of forward compatibility. By keeping transmissions together, it is easier to later introduce new types of transmission in parallel to the legacy transmissions in a backwards compatible way.</w:t>
      </w:r>
    </w:p>
    <w:p w:rsidR="001639B5" w:rsidRDefault="001639B5" w:rsidP="001639B5">
      <w:pPr>
        <w:pStyle w:val="BodyText"/>
      </w:pPr>
      <w:r>
        <w:lastRenderedPageBreak/>
        <w:t>A</w:t>
      </w:r>
      <w:r w:rsidRPr="006573D0">
        <w:t xml:space="preserve">n example </w:t>
      </w:r>
      <w:r>
        <w:t>of transmissions not fulfilling the</w:t>
      </w:r>
      <w:r w:rsidRPr="006573D0">
        <w:t xml:space="preserve"> </w:t>
      </w:r>
      <w:r>
        <w:t xml:space="preserve">“stay-in-the-box” </w:t>
      </w:r>
      <w:r w:rsidRPr="006573D0">
        <w:t>principle is the</w:t>
      </w:r>
      <w:r>
        <w:t xml:space="preserve"> set of channels (PCFICH, PHICH, and PDCCH) transmitted in the control region in an LTE subframe.</w:t>
      </w:r>
      <w:r w:rsidRPr="006573D0">
        <w:t xml:space="preserve"> </w:t>
      </w:r>
      <w:r>
        <w:t xml:space="preserve">Although this provides frequency diversity, it also makes it very </w:t>
      </w:r>
      <w:r w:rsidRPr="006573D0">
        <w:t>difficult to introduce new transm</w:t>
      </w:r>
      <w:r>
        <w:t>issions within the</w:t>
      </w:r>
      <w:r w:rsidRPr="006573D0">
        <w:t xml:space="preserve"> OFDM symbols </w:t>
      </w:r>
      <w:r>
        <w:t xml:space="preserve">in which PDCCH is transmitted </w:t>
      </w:r>
      <w:r w:rsidRPr="006573D0">
        <w:t>unless they</w:t>
      </w:r>
      <w:r>
        <w:t xml:space="preserve"> are </w:t>
      </w:r>
      <w:r w:rsidRPr="006573D0">
        <w:t>align</w:t>
      </w:r>
      <w:r>
        <w:t>ed</w:t>
      </w:r>
      <w:r w:rsidRPr="006573D0">
        <w:t xml:space="preserve"> with the </w:t>
      </w:r>
      <w:r>
        <w:t>detailed PDCCH structure.</w:t>
      </w:r>
    </w:p>
    <w:p w:rsidR="00D539B8" w:rsidRDefault="001639B5" w:rsidP="001639B5">
      <w:pPr>
        <w:pStyle w:val="BodyText"/>
        <w:rPr>
          <w:b/>
        </w:rPr>
      </w:pPr>
      <w:r w:rsidRPr="00F062F2">
        <w:rPr>
          <w:b/>
        </w:rPr>
        <w:t xml:space="preserve">Proposal: </w:t>
      </w:r>
    </w:p>
    <w:p w:rsidR="001639B5" w:rsidRDefault="00F062F2" w:rsidP="00D539B8">
      <w:pPr>
        <w:pStyle w:val="BodyText"/>
        <w:numPr>
          <w:ilvl w:val="0"/>
          <w:numId w:val="8"/>
        </w:numPr>
        <w:rPr>
          <w:b/>
        </w:rPr>
      </w:pPr>
      <w:r>
        <w:rPr>
          <w:b/>
        </w:rPr>
        <w:t>“Stay in the box” – a</w:t>
      </w:r>
      <w:r w:rsidRPr="00F062F2">
        <w:rPr>
          <w:b/>
        </w:rPr>
        <w:t>void spreading transmissions across the resource space.</w:t>
      </w:r>
    </w:p>
    <w:p w:rsidR="00022E81" w:rsidRPr="001D0503" w:rsidRDefault="00022E81" w:rsidP="001D0503">
      <w:pPr>
        <w:pStyle w:val="Heading1"/>
      </w:pPr>
      <w:bookmarkStart w:id="3" w:name="_Toc438209199"/>
      <w:bookmarkStart w:id="4" w:name="_Toc437866069"/>
      <w:bookmarkStart w:id="5" w:name="_Toc437853152"/>
      <w:bookmarkStart w:id="6" w:name="_Toc437853027"/>
      <w:bookmarkStart w:id="7" w:name="_Toc437727198"/>
      <w:bookmarkStart w:id="8" w:name="_Toc437617414"/>
      <w:bookmarkStart w:id="9" w:name="_Toc436746169"/>
      <w:bookmarkStart w:id="10" w:name="_Toc436742370"/>
      <w:bookmarkStart w:id="11" w:name="_Toc436741321"/>
      <w:bookmarkStart w:id="12" w:name="_Toc436739670"/>
      <w:bookmarkStart w:id="13" w:name="_Toc434590593"/>
      <w:bookmarkStart w:id="14" w:name="_Toc434572704"/>
      <w:bookmarkStart w:id="15" w:name="_Toc434591630"/>
      <w:bookmarkStart w:id="16" w:name="_Toc432164647"/>
      <w:bookmarkStart w:id="17" w:name="_Toc431667819"/>
      <w:bookmarkStart w:id="18" w:name="_Toc422145259"/>
      <w:bookmarkStart w:id="19" w:name="_Toc421809361"/>
      <w:bookmarkStart w:id="20" w:name="_Toc421803551"/>
      <w:bookmarkStart w:id="21" w:name="_Toc421803277"/>
      <w:bookmarkStart w:id="22" w:name="_Toc421801277"/>
      <w:bookmarkStart w:id="23" w:name="_Toc421784647"/>
      <w:bookmarkStart w:id="24" w:name="_Toc421738222"/>
      <w:bookmarkStart w:id="25" w:name="_Toc421705279"/>
      <w:bookmarkStart w:id="26" w:name="_Toc421474335"/>
      <w:bookmarkStart w:id="27" w:name="_Toc421436981"/>
      <w:bookmarkStart w:id="28" w:name="_Toc421283808"/>
      <w:r w:rsidRPr="001D0503">
        <w:t>Self-contained transmissions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A25086" w:rsidRDefault="00022E81" w:rsidP="001D0503">
      <w:pPr>
        <w:pStyle w:val="BodyText"/>
      </w:pPr>
      <w:r w:rsidRPr="007B3530">
        <w:t xml:space="preserve">Transmissions should be well confined in time and frequency. Dependency across subframes and beams should be avoided. As a baseline, reference signals necessary for channel estimation typically are transmitted in the same subframe, over the same bandwidth, and in the same beam as the corresponding data (unlike LTE where cell-specific reference signals in previous subframes can be used to aid channel estimation). </w:t>
      </w:r>
      <w:r w:rsidR="001D0503" w:rsidRPr="007B3530">
        <w:t xml:space="preserve">This principle helps making </w:t>
      </w:r>
      <w:r w:rsidRPr="007B3530">
        <w:t xml:space="preserve">transmitter-side beamforming (multi-antenna) schemes more transparent to the receiver </w:t>
      </w:r>
      <w:r w:rsidR="001D0503" w:rsidRPr="007B3530">
        <w:t xml:space="preserve">and thereby </w:t>
      </w:r>
      <w:r w:rsidRPr="007B3530">
        <w:t>allowing for greater network deployment flexibility</w:t>
      </w:r>
      <w:r w:rsidR="001D0503" w:rsidRPr="007B3530">
        <w:t xml:space="preserve">. </w:t>
      </w:r>
      <w:r w:rsidR="00A25086" w:rsidRPr="007B3530">
        <w:t>Self-contained transmissions also simplify coexistence of different services and long term RAT-maintenance and evolution. Furthermore, multi-connectivity use-cases should be easier to design and support when all transmissions are well confined in time and frequency.</w:t>
      </w:r>
    </w:p>
    <w:p w:rsidR="00A25086" w:rsidRDefault="00A25086" w:rsidP="001D0503">
      <w:pPr>
        <w:pStyle w:val="BodyText"/>
      </w:pPr>
      <w:r>
        <w:t>However, there are aspects of channel estimation, for example timing and frequency synchronization, that may benefit from exploiting multiple subframes or periodic signals using the quasi-co-location (QCL) framework designed for LTE. Great care is therefore required in the design to maximize the principle benefits from self-contained transmissions while not scarifying channel-estimation accuracy.</w:t>
      </w:r>
    </w:p>
    <w:p w:rsidR="00D539B8" w:rsidRDefault="001D0503" w:rsidP="001D0503">
      <w:pPr>
        <w:pStyle w:val="BodyText"/>
        <w:rPr>
          <w:b/>
        </w:rPr>
      </w:pPr>
      <w:r w:rsidRPr="001D0503">
        <w:rPr>
          <w:b/>
        </w:rPr>
        <w:t xml:space="preserve">Proposal: </w:t>
      </w:r>
    </w:p>
    <w:p w:rsidR="001D0503" w:rsidRDefault="001D0503" w:rsidP="00D539B8">
      <w:pPr>
        <w:pStyle w:val="BodyText"/>
        <w:numPr>
          <w:ilvl w:val="0"/>
          <w:numId w:val="8"/>
        </w:numPr>
        <w:rPr>
          <w:b/>
        </w:rPr>
      </w:pPr>
      <w:r w:rsidRPr="001D0503">
        <w:rPr>
          <w:b/>
        </w:rPr>
        <w:t xml:space="preserve">Adopt </w:t>
      </w:r>
      <w:r w:rsidR="0087287C">
        <w:rPr>
          <w:b/>
        </w:rPr>
        <w:t xml:space="preserve">as a baseline </w:t>
      </w:r>
      <w:r w:rsidRPr="001D0503">
        <w:rPr>
          <w:b/>
        </w:rPr>
        <w:t>self-contained transmission where data (and control) transmissions have, e.g. their own reference signals.</w:t>
      </w:r>
    </w:p>
    <w:p w:rsidR="00D539B8" w:rsidRDefault="00D539B8" w:rsidP="00D539B8">
      <w:pPr>
        <w:pStyle w:val="Heading1"/>
      </w:pPr>
      <w:r w:rsidRPr="00022E81">
        <w:t>Avoid tying multiple quantities to a single underlying quantity</w:t>
      </w:r>
    </w:p>
    <w:p w:rsidR="00D539B8" w:rsidRDefault="00D539B8" w:rsidP="00D539B8">
      <w:pPr>
        <w:pStyle w:val="BodyText"/>
        <w:rPr>
          <w:lang w:val="en-GB"/>
        </w:rPr>
      </w:pPr>
      <w:r w:rsidRPr="001D0503">
        <w:rPr>
          <w:lang w:val="en-GB"/>
        </w:rPr>
        <w:t>In LTE, many quantities are tied to the same underlying quantity leading to unnecessary restrictions. For example, the cell identity is used for multiple purposes such as downlink and uplink scrambling, reference signal mapping, measu</w:t>
      </w:r>
      <w:r>
        <w:rPr>
          <w:lang w:val="en-GB"/>
        </w:rPr>
        <w:t>rement reporting, handover, etc.</w:t>
      </w:r>
      <w:r w:rsidRPr="001D0503">
        <w:rPr>
          <w:lang w:val="en-GB"/>
        </w:rPr>
        <w:t xml:space="preserve"> Not all these purposes should be tied to the same quantity, e.g. uplink and downlink scrambling should be separated to facilitate independent termination points for uplink and downlink</w:t>
      </w:r>
      <w:r>
        <w:rPr>
          <w:lang w:val="en-GB"/>
        </w:rPr>
        <w:t>, a lesson learnt from the introduction if CoMP in LTE</w:t>
      </w:r>
      <w:r w:rsidRPr="001D0503">
        <w:rPr>
          <w:lang w:val="en-GB"/>
        </w:rPr>
        <w:t>. Another example is ciphering in PDCP being tied to the cell identity unnecessarily restricting the deployment flexibility.</w:t>
      </w:r>
    </w:p>
    <w:p w:rsidR="00D539B8" w:rsidRDefault="00D539B8" w:rsidP="00D539B8">
      <w:pPr>
        <w:pStyle w:val="BodyText"/>
        <w:rPr>
          <w:b/>
          <w:lang w:val="en-GB"/>
        </w:rPr>
      </w:pPr>
      <w:r w:rsidRPr="001D0503">
        <w:rPr>
          <w:b/>
          <w:lang w:val="en-GB"/>
        </w:rPr>
        <w:t xml:space="preserve">Proposal: </w:t>
      </w:r>
    </w:p>
    <w:p w:rsidR="00D539B8" w:rsidRPr="001D0503" w:rsidRDefault="00D539B8" w:rsidP="00D539B8">
      <w:pPr>
        <w:pStyle w:val="BodyText"/>
        <w:numPr>
          <w:ilvl w:val="0"/>
          <w:numId w:val="8"/>
        </w:numPr>
        <w:rPr>
          <w:b/>
          <w:lang w:val="en-GB"/>
        </w:rPr>
      </w:pPr>
      <w:r w:rsidRPr="001D0503">
        <w:rPr>
          <w:b/>
          <w:lang w:val="en-GB"/>
        </w:rPr>
        <w:t>Avoid tying multiple quantities to a single underlying quantity unless there is a clear motivation.</w:t>
      </w:r>
    </w:p>
    <w:p w:rsidR="00D539B8" w:rsidRPr="00D539B8" w:rsidRDefault="00D539B8" w:rsidP="001D0503">
      <w:pPr>
        <w:pStyle w:val="BodyText"/>
        <w:rPr>
          <w:b/>
          <w:lang w:val="en-GB"/>
        </w:rPr>
      </w:pPr>
    </w:p>
    <w:p w:rsidR="00FE5799" w:rsidRDefault="00FE5799" w:rsidP="00FE5799">
      <w:pPr>
        <w:pStyle w:val="Heading1"/>
      </w:pPr>
      <w:r>
        <w:t>Conclusion</w:t>
      </w:r>
    </w:p>
    <w:p w:rsidR="00F062F2" w:rsidRDefault="00F062F2" w:rsidP="00F062F2">
      <w:pPr>
        <w:pStyle w:val="BodyText"/>
      </w:pPr>
      <w:r>
        <w:t>To improve future compatibility the following proposals are made:</w:t>
      </w:r>
    </w:p>
    <w:p w:rsidR="00F062F2" w:rsidRDefault="00F062F2" w:rsidP="00F062F2">
      <w:pPr>
        <w:pStyle w:val="BodyText"/>
        <w:numPr>
          <w:ilvl w:val="0"/>
          <w:numId w:val="5"/>
        </w:numPr>
        <w:rPr>
          <w:b/>
        </w:rPr>
      </w:pPr>
      <w:r w:rsidRPr="00F062F2">
        <w:rPr>
          <w:b/>
        </w:rPr>
        <w:t>Minimize all network transmissions not directly related to user-data transmission</w:t>
      </w:r>
    </w:p>
    <w:p w:rsidR="0087287C" w:rsidRPr="0087287C" w:rsidRDefault="0087287C" w:rsidP="0087287C">
      <w:pPr>
        <w:pStyle w:val="BodyText"/>
        <w:numPr>
          <w:ilvl w:val="0"/>
          <w:numId w:val="5"/>
        </w:numPr>
        <w:rPr>
          <w:b/>
        </w:rPr>
      </w:pPr>
      <w:r>
        <w:rPr>
          <w:b/>
        </w:rPr>
        <w:t>Blank subframes – a UE should as a baseline treat all subframes as empty unless explicitly told otherwise</w:t>
      </w:r>
    </w:p>
    <w:p w:rsidR="00F062F2" w:rsidRPr="00F062F2" w:rsidRDefault="00F062F2" w:rsidP="00F062F2">
      <w:pPr>
        <w:pStyle w:val="BodyText"/>
        <w:numPr>
          <w:ilvl w:val="0"/>
          <w:numId w:val="5"/>
        </w:numPr>
        <w:rPr>
          <w:b/>
        </w:rPr>
      </w:pPr>
      <w:r w:rsidRPr="00F062F2">
        <w:rPr>
          <w:b/>
        </w:rPr>
        <w:t>Avoid fixed timing relations across subframe borders</w:t>
      </w:r>
    </w:p>
    <w:p w:rsidR="00F062F2" w:rsidRDefault="00F062F2" w:rsidP="00F062F2">
      <w:pPr>
        <w:pStyle w:val="BodyText"/>
        <w:numPr>
          <w:ilvl w:val="0"/>
          <w:numId w:val="5"/>
        </w:numPr>
        <w:rPr>
          <w:b/>
        </w:rPr>
      </w:pPr>
      <w:r>
        <w:rPr>
          <w:b/>
        </w:rPr>
        <w:t>“Stay in the box” – a</w:t>
      </w:r>
      <w:r w:rsidRPr="00F062F2">
        <w:rPr>
          <w:b/>
        </w:rPr>
        <w:t>void spreading transmissions across the resource space.</w:t>
      </w:r>
    </w:p>
    <w:p w:rsidR="0026076E" w:rsidRDefault="0026076E" w:rsidP="0026076E">
      <w:pPr>
        <w:pStyle w:val="BodyText"/>
        <w:numPr>
          <w:ilvl w:val="0"/>
          <w:numId w:val="5"/>
        </w:numPr>
        <w:rPr>
          <w:b/>
        </w:rPr>
      </w:pPr>
      <w:r>
        <w:rPr>
          <w:b/>
        </w:rPr>
        <w:t>S</w:t>
      </w:r>
      <w:r w:rsidRPr="001D0503">
        <w:rPr>
          <w:b/>
        </w:rPr>
        <w:t>elf-contained transmission where data (and control) transmissions have, e.g.</w:t>
      </w:r>
      <w:r w:rsidR="0087287C">
        <w:rPr>
          <w:b/>
        </w:rPr>
        <w:t>,</w:t>
      </w:r>
      <w:r w:rsidRPr="001D0503">
        <w:rPr>
          <w:b/>
        </w:rPr>
        <w:t xml:space="preserve"> their own reference signals.</w:t>
      </w:r>
    </w:p>
    <w:p w:rsidR="00D539B8" w:rsidRPr="00D539B8" w:rsidRDefault="00D539B8" w:rsidP="00D539B8">
      <w:pPr>
        <w:pStyle w:val="BodyText"/>
        <w:numPr>
          <w:ilvl w:val="0"/>
          <w:numId w:val="5"/>
        </w:numPr>
        <w:rPr>
          <w:b/>
          <w:lang w:val="en-GB"/>
        </w:rPr>
      </w:pPr>
      <w:r w:rsidRPr="001D0503">
        <w:rPr>
          <w:b/>
          <w:lang w:val="en-GB"/>
        </w:rPr>
        <w:t>Avoid tying multiple quantities to a single underlying quantity unless there is a clear motivation.</w:t>
      </w:r>
    </w:p>
    <w:p w:rsidR="00F062F2" w:rsidRPr="00F062F2" w:rsidRDefault="00F062F2" w:rsidP="00F062F2">
      <w:pPr>
        <w:pStyle w:val="BodyText"/>
      </w:pPr>
      <w:r w:rsidRPr="00F062F2">
        <w:t>It is proposed to capture these principle</w:t>
      </w:r>
      <w:r>
        <w:t>s</w:t>
      </w:r>
      <w:r w:rsidRPr="00F062F2">
        <w:t xml:space="preserve"> in the RAN1 </w:t>
      </w:r>
      <w:r w:rsidR="001D0503" w:rsidRPr="00F062F2">
        <w:t>technical</w:t>
      </w:r>
      <w:r w:rsidRPr="00F062F2">
        <w:t xml:space="preserve"> report.</w:t>
      </w:r>
    </w:p>
    <w:p w:rsidR="0022115C" w:rsidRPr="00510266" w:rsidRDefault="0022115C" w:rsidP="0022115C">
      <w:pPr>
        <w:pStyle w:val="Heading1"/>
      </w:pPr>
      <w:r w:rsidRPr="00510266">
        <w:t>References</w:t>
      </w:r>
    </w:p>
    <w:p w:rsidR="00F062F2" w:rsidRPr="00391A0B" w:rsidRDefault="00391A0B" w:rsidP="00391A0B">
      <w:pPr>
        <w:numPr>
          <w:ilvl w:val="0"/>
          <w:numId w:val="2"/>
        </w:numPr>
        <w:jc w:val="both"/>
        <w:rPr>
          <w:szCs w:val="20"/>
          <w:lang w:val="it-IT"/>
        </w:rPr>
      </w:pPr>
      <w:bookmarkStart w:id="29" w:name="_Ref445885665"/>
      <w:r>
        <w:t>R1-163216</w:t>
      </w:r>
      <w:r w:rsidR="0022115C">
        <w:t>, “</w:t>
      </w:r>
      <w:r w:rsidR="0022115C" w:rsidRPr="0022115C">
        <w:t xml:space="preserve">Some design principles for </w:t>
      </w:r>
      <w:r>
        <w:t>NR</w:t>
      </w:r>
      <w:r w:rsidR="0022115C">
        <w:t>”, Ericsson</w:t>
      </w:r>
      <w:bookmarkStart w:id="30" w:name="_GoBack"/>
      <w:bookmarkEnd w:id="29"/>
      <w:bookmarkEnd w:id="30"/>
    </w:p>
    <w:sectPr w:rsidR="00F062F2" w:rsidRPr="00391A0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6D7" w:rsidRDefault="00EF36D7">
      <w:r>
        <w:separator/>
      </w:r>
    </w:p>
  </w:endnote>
  <w:endnote w:type="continuationSeparator" w:id="0">
    <w:p w:rsidR="00EF36D7" w:rsidRDefault="00EF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6D7" w:rsidRDefault="00EF36D7">
      <w:r>
        <w:separator/>
      </w:r>
    </w:p>
  </w:footnote>
  <w:footnote w:type="continuationSeparator" w:id="0">
    <w:p w:rsidR="00EF36D7" w:rsidRDefault="00EF3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EF36D7"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0E5480"/>
    <w:multiLevelType w:val="hybridMultilevel"/>
    <w:tmpl w:val="D21E6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E81"/>
    <w:rsid w:val="000E0F1D"/>
    <w:rsid w:val="001639B5"/>
    <w:rsid w:val="001D0503"/>
    <w:rsid w:val="0022115C"/>
    <w:rsid w:val="0026076E"/>
    <w:rsid w:val="00297704"/>
    <w:rsid w:val="002C1A1F"/>
    <w:rsid w:val="00334092"/>
    <w:rsid w:val="00391A0B"/>
    <w:rsid w:val="003D5908"/>
    <w:rsid w:val="004823F8"/>
    <w:rsid w:val="004A3F44"/>
    <w:rsid w:val="004E0AB2"/>
    <w:rsid w:val="005B038C"/>
    <w:rsid w:val="005F758E"/>
    <w:rsid w:val="006A286A"/>
    <w:rsid w:val="007B3530"/>
    <w:rsid w:val="0087287C"/>
    <w:rsid w:val="00872E9C"/>
    <w:rsid w:val="00A25086"/>
    <w:rsid w:val="00A55C73"/>
    <w:rsid w:val="00AA5058"/>
    <w:rsid w:val="00B21130"/>
    <w:rsid w:val="00B368D9"/>
    <w:rsid w:val="00C1560A"/>
    <w:rsid w:val="00C82C6E"/>
    <w:rsid w:val="00D539B8"/>
    <w:rsid w:val="00DA4DEF"/>
    <w:rsid w:val="00E66190"/>
    <w:rsid w:val="00E747B0"/>
    <w:rsid w:val="00EF36D7"/>
    <w:rsid w:val="00F002CD"/>
    <w:rsid w:val="00F062F2"/>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CE0B3-399A-4E88-96AB-3D96214B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1062</Words>
  <Characters>6060</Characters>
  <Application>Microsoft Office Word</Application>
  <DocSecurity>0</DocSecurity>
  <Lines>50</Lines>
  <Paragraphs>14</Paragraphs>
  <ScaleCrop>false</ScaleCrop>
  <Company/>
  <LinksUpToDate>false</LinksUpToDate>
  <CharactersWithSpaces>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2016-04-01T12:10:00Z</dcterms:created>
  <dcterms:modified xsi:type="dcterms:W3CDTF">2016-04-01T12:11:00Z</dcterms:modified>
</cp:coreProperties>
</file>